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68D15" w14:textId="77777777" w:rsidR="00082765" w:rsidRDefault="00082765" w:rsidP="00082765">
      <w:pPr>
        <w:pStyle w:val="Title"/>
      </w:pPr>
      <w:bookmarkStart w:id="0" w:name="_GoBack"/>
      <w:bookmarkEnd w:id="0"/>
      <w:r>
        <w:t>EVALUATION OF YOUR CURRENT AUP</w:t>
      </w:r>
    </w:p>
    <w:tbl>
      <w:tblPr>
        <w:tblStyle w:val="GridTable4-Accent5"/>
        <w:tblW w:w="0" w:type="auto"/>
        <w:tblLook w:val="04A0" w:firstRow="1" w:lastRow="0" w:firstColumn="1" w:lastColumn="0" w:noHBand="0" w:noVBand="1"/>
      </w:tblPr>
      <w:tblGrid>
        <w:gridCol w:w="9350"/>
      </w:tblGrid>
      <w:tr w:rsidR="00082765" w14:paraId="0E6EF064" w14:textId="77777777" w:rsidTr="000827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E1468A0" w14:textId="3D492210" w:rsidR="007E390D" w:rsidRPr="007E390D" w:rsidRDefault="00082765" w:rsidP="007E390D">
            <w:pPr>
              <w:pStyle w:val="ListParagraph"/>
              <w:numPr>
                <w:ilvl w:val="0"/>
                <w:numId w:val="5"/>
              </w:numPr>
              <w:rPr>
                <w:rFonts w:ascii="Century Gothic" w:eastAsia="Century Gothic" w:hAnsi="Century Gothic" w:cs="Times New Roman"/>
              </w:rPr>
            </w:pPr>
            <w:r w:rsidRPr="00082765">
              <w:rPr>
                <w:rFonts w:ascii="Century Gothic" w:eastAsia="Century Gothic" w:hAnsi="Century Gothic" w:cs="Times New Roman"/>
              </w:rPr>
              <w:t xml:space="preserve">Find your schools current AUP. </w:t>
            </w:r>
          </w:p>
          <w:p w14:paraId="373F3206" w14:textId="2AA5F2F9" w:rsidR="007E390D" w:rsidRPr="00082765" w:rsidRDefault="00732CA7" w:rsidP="007E390D">
            <w:pPr>
              <w:pStyle w:val="ListParagraph"/>
              <w:rPr>
                <w:rFonts w:ascii="Century Gothic" w:eastAsia="Century Gothic" w:hAnsi="Century Gothic" w:cs="Times New Roman"/>
              </w:rPr>
            </w:pPr>
            <w:r w:rsidRPr="00732CA7">
              <w:rPr>
                <w:rFonts w:ascii="Century Gothic" w:eastAsia="Century Gothic" w:hAnsi="Century Gothic" w:cs="Times New Roman"/>
              </w:rPr>
              <w:t>http://caschools.us/Websites/caschools/files/Content/2690303/2013-student_resp_use-9-12-rev-1.2.pdf</w:t>
            </w:r>
          </w:p>
        </w:tc>
      </w:tr>
      <w:tr w:rsidR="00082765" w14:paraId="012091FC" w14:textId="77777777" w:rsidTr="00082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C407EAF" w14:textId="3B933194" w:rsidR="00082765" w:rsidRPr="007E390D" w:rsidRDefault="00082765" w:rsidP="00082765">
            <w:pPr>
              <w:pStyle w:val="ListParagraph"/>
              <w:numPr>
                <w:ilvl w:val="0"/>
                <w:numId w:val="5"/>
              </w:numPr>
              <w:rPr>
                <w:rFonts w:ascii="Century Gothic" w:eastAsia="Century Gothic" w:hAnsi="Century Gothic" w:cs="Times New Roman"/>
              </w:rPr>
            </w:pPr>
            <w:r w:rsidRPr="00082765">
              <w:rPr>
                <w:rFonts w:ascii="Century Gothic" w:eastAsia="Century Gothic" w:hAnsi="Century Gothic" w:cs="Times New Roman"/>
              </w:rPr>
              <w:t xml:space="preserve">Is </w:t>
            </w:r>
            <w:r>
              <w:rPr>
                <w:rFonts w:ascii="Century Gothic" w:eastAsia="Century Gothic" w:hAnsi="Century Gothic" w:cs="Times New Roman"/>
              </w:rPr>
              <w:t xml:space="preserve">your current AUP </w:t>
            </w:r>
            <w:r w:rsidRPr="00082765">
              <w:rPr>
                <w:rFonts w:ascii="Century Gothic" w:eastAsia="Century Gothic" w:hAnsi="Century Gothic" w:cs="Times New Roman"/>
              </w:rPr>
              <w:t xml:space="preserve">missing any of the suggested sections? Explain where </w:t>
            </w:r>
            <w:r>
              <w:rPr>
                <w:rFonts w:ascii="Century Gothic" w:eastAsia="Century Gothic" w:hAnsi="Century Gothic" w:cs="Times New Roman"/>
              </w:rPr>
              <w:t>you believe the plan is lacking.</w:t>
            </w:r>
          </w:p>
          <w:p w14:paraId="2148BFF1" w14:textId="77777777" w:rsidR="00082765" w:rsidRDefault="00082765" w:rsidP="00082765">
            <w:pPr>
              <w:pStyle w:val="ListParagraph"/>
              <w:numPr>
                <w:ilvl w:val="0"/>
                <w:numId w:val="2"/>
              </w:numPr>
            </w:pPr>
            <w:r>
              <w:t>The aim of the AUP</w:t>
            </w:r>
          </w:p>
          <w:p w14:paraId="7EF83526" w14:textId="77777777" w:rsidR="00082765" w:rsidRDefault="00082765" w:rsidP="00082765">
            <w:r>
              <w:t xml:space="preserve">An AUP should address all aspects of Internet usage. These include: </w:t>
            </w:r>
          </w:p>
          <w:p w14:paraId="131BE047" w14:textId="77777777" w:rsidR="00082765" w:rsidRDefault="00082765" w:rsidP="00082765">
            <w:pPr>
              <w:pStyle w:val="ListParagraph"/>
              <w:numPr>
                <w:ilvl w:val="0"/>
                <w:numId w:val="1"/>
              </w:numPr>
            </w:pPr>
            <w:r>
              <w:t xml:space="preserve">Searching </w:t>
            </w:r>
          </w:p>
          <w:p w14:paraId="2F77C5CE" w14:textId="77777777" w:rsidR="00082765" w:rsidRDefault="00082765" w:rsidP="00082765">
            <w:pPr>
              <w:pStyle w:val="ListParagraph"/>
              <w:numPr>
                <w:ilvl w:val="0"/>
                <w:numId w:val="1"/>
              </w:numPr>
            </w:pPr>
            <w:r>
              <w:t xml:space="preserve">Downloading </w:t>
            </w:r>
          </w:p>
          <w:p w14:paraId="20EC4AA7" w14:textId="77777777" w:rsidR="00082765" w:rsidRDefault="00082765" w:rsidP="00082765">
            <w:pPr>
              <w:pStyle w:val="ListParagraph"/>
              <w:numPr>
                <w:ilvl w:val="0"/>
                <w:numId w:val="1"/>
              </w:numPr>
            </w:pPr>
            <w:r>
              <w:t xml:space="preserve">Publishing a school website </w:t>
            </w:r>
          </w:p>
          <w:p w14:paraId="23F8A1D7" w14:textId="77777777" w:rsidR="00082765" w:rsidRDefault="00082765" w:rsidP="00082765">
            <w:pPr>
              <w:pStyle w:val="ListParagraph"/>
              <w:numPr>
                <w:ilvl w:val="0"/>
                <w:numId w:val="1"/>
              </w:numPr>
            </w:pPr>
            <w:r>
              <w:t xml:space="preserve">Browsing websites </w:t>
            </w:r>
          </w:p>
          <w:p w14:paraId="14657F4A" w14:textId="77777777" w:rsidR="00082765" w:rsidRDefault="00082765" w:rsidP="00082765">
            <w:pPr>
              <w:pStyle w:val="ListParagraph"/>
              <w:numPr>
                <w:ilvl w:val="0"/>
                <w:numId w:val="1"/>
              </w:numPr>
            </w:pPr>
            <w:r>
              <w:t xml:space="preserve">Electronic communication such as email, social networking, messaging etc. </w:t>
            </w:r>
          </w:p>
          <w:p w14:paraId="14D0E69E" w14:textId="77777777" w:rsidR="00082765" w:rsidRDefault="00082765" w:rsidP="00082765">
            <w:pPr>
              <w:ind w:firstLine="60"/>
            </w:pPr>
          </w:p>
          <w:p w14:paraId="2D2BFFBC" w14:textId="77777777" w:rsidR="00082765" w:rsidRDefault="00082765" w:rsidP="00082765">
            <w:r>
              <w:t xml:space="preserve">Other issues that an AUP may include: </w:t>
            </w:r>
          </w:p>
          <w:p w14:paraId="0BFE9BF4" w14:textId="77777777" w:rsidR="00082765" w:rsidRDefault="00082765" w:rsidP="00082765">
            <w:pPr>
              <w:pStyle w:val="ListParagraph"/>
              <w:numPr>
                <w:ilvl w:val="0"/>
                <w:numId w:val="1"/>
              </w:numPr>
            </w:pPr>
            <w:r>
              <w:t xml:space="preserve">Online research skills </w:t>
            </w:r>
          </w:p>
          <w:p w14:paraId="41B18C26" w14:textId="77777777" w:rsidR="00082765" w:rsidRDefault="00082765" w:rsidP="00082765">
            <w:pPr>
              <w:pStyle w:val="ListParagraph"/>
              <w:numPr>
                <w:ilvl w:val="0"/>
                <w:numId w:val="1"/>
              </w:numPr>
            </w:pPr>
            <w:r>
              <w:t xml:space="preserve">Where to locate Internet safety advice and guidelines </w:t>
            </w:r>
          </w:p>
          <w:p w14:paraId="535A6399" w14:textId="77777777" w:rsidR="00082765" w:rsidRDefault="00082765" w:rsidP="00082765">
            <w:pPr>
              <w:pStyle w:val="ListParagraph"/>
              <w:numPr>
                <w:ilvl w:val="0"/>
                <w:numId w:val="1"/>
              </w:numPr>
            </w:pPr>
            <w:r>
              <w:t xml:space="preserve">Definition of inappropriate material </w:t>
            </w:r>
          </w:p>
          <w:p w14:paraId="4DABBD99" w14:textId="77777777" w:rsidR="00082765" w:rsidRDefault="00082765" w:rsidP="00082765">
            <w:pPr>
              <w:pStyle w:val="ListParagraph"/>
              <w:numPr>
                <w:ilvl w:val="0"/>
                <w:numId w:val="1"/>
              </w:numPr>
            </w:pPr>
            <w:r>
              <w:t xml:space="preserve">Illegal and harmful use of the Internet </w:t>
            </w:r>
          </w:p>
          <w:p w14:paraId="50956854" w14:textId="77777777" w:rsidR="00082765" w:rsidRDefault="00082765" w:rsidP="00082765">
            <w:pPr>
              <w:pStyle w:val="ListParagraph"/>
              <w:numPr>
                <w:ilvl w:val="0"/>
                <w:numId w:val="1"/>
              </w:numPr>
            </w:pPr>
            <w:r>
              <w:t xml:space="preserve">Use of equipment for commercial gain </w:t>
            </w:r>
          </w:p>
          <w:p w14:paraId="0ED03EE0" w14:textId="77777777" w:rsidR="00082765" w:rsidRDefault="00082765" w:rsidP="00082765">
            <w:pPr>
              <w:pStyle w:val="ListParagraph"/>
              <w:numPr>
                <w:ilvl w:val="0"/>
                <w:numId w:val="1"/>
              </w:numPr>
            </w:pPr>
            <w:r>
              <w:t xml:space="preserve">Use of email accounts </w:t>
            </w:r>
          </w:p>
          <w:p w14:paraId="6608E17A" w14:textId="77777777" w:rsidR="00082765" w:rsidRDefault="00082765" w:rsidP="00082765">
            <w:pPr>
              <w:pStyle w:val="ListParagraph"/>
              <w:numPr>
                <w:ilvl w:val="0"/>
                <w:numId w:val="1"/>
              </w:numPr>
            </w:pPr>
            <w:r>
              <w:t xml:space="preserve">Sanctions </w:t>
            </w:r>
          </w:p>
          <w:p w14:paraId="7DBEF7CF" w14:textId="77777777" w:rsidR="00082765" w:rsidRDefault="00082765" w:rsidP="00082765">
            <w:pPr>
              <w:pStyle w:val="ListParagraph"/>
              <w:numPr>
                <w:ilvl w:val="0"/>
                <w:numId w:val="1"/>
              </w:numPr>
            </w:pPr>
            <w:r>
              <w:t xml:space="preserve">Copyright guidelines </w:t>
            </w:r>
          </w:p>
          <w:p w14:paraId="2235AF05" w14:textId="77777777" w:rsidR="00082765" w:rsidRDefault="00082765" w:rsidP="00082765">
            <w:pPr>
              <w:pStyle w:val="ListParagraph"/>
              <w:numPr>
                <w:ilvl w:val="0"/>
                <w:numId w:val="1"/>
              </w:numPr>
            </w:pPr>
            <w:r>
              <w:t xml:space="preserve">Online games </w:t>
            </w:r>
          </w:p>
          <w:p w14:paraId="00881F2C" w14:textId="77777777" w:rsidR="00082765" w:rsidRDefault="00082765" w:rsidP="00082765">
            <w:pPr>
              <w:contextualSpacing/>
              <w:rPr>
                <w:rFonts w:ascii="Century Gothic" w:eastAsia="Century Gothic" w:hAnsi="Century Gothic" w:cs="Times New Roman"/>
              </w:rPr>
            </w:pPr>
          </w:p>
        </w:tc>
      </w:tr>
      <w:tr w:rsidR="00082765" w14:paraId="188901E3" w14:textId="77777777" w:rsidTr="00082765">
        <w:tc>
          <w:tcPr>
            <w:cnfStyle w:val="001000000000" w:firstRow="0" w:lastRow="0" w:firstColumn="1" w:lastColumn="0" w:oddVBand="0" w:evenVBand="0" w:oddHBand="0" w:evenHBand="0" w:firstRowFirstColumn="0" w:firstRowLastColumn="0" w:lastRowFirstColumn="0" w:lastRowLastColumn="0"/>
            <w:tcW w:w="9350" w:type="dxa"/>
          </w:tcPr>
          <w:p w14:paraId="20597F89" w14:textId="77777777" w:rsidR="00082765" w:rsidRDefault="000E77B5" w:rsidP="00082765">
            <w:pPr>
              <w:contextualSpacing/>
              <w:rPr>
                <w:rFonts w:ascii="Century Gothic" w:eastAsia="Century Gothic" w:hAnsi="Century Gothic" w:cs="Times New Roman"/>
              </w:rPr>
            </w:pPr>
            <w:r>
              <w:rPr>
                <w:rFonts w:ascii="Century Gothic" w:eastAsia="Century Gothic" w:hAnsi="Century Gothic" w:cs="Times New Roman"/>
              </w:rPr>
              <w:t xml:space="preserve">I was surprised by the length of my school’s Responsible Use Policy (RUP); it was far shorter than I had expected.  The RUP goes into greater detail regarding the appropriate use of student iPads than it does use of technology in general.  My school is currently in our third year of having 1-to-1 iPads in the classroom, so it is understandable that greater focus has been placed on those devices. </w:t>
            </w:r>
          </w:p>
          <w:p w14:paraId="3CBBB9B8" w14:textId="77777777" w:rsidR="00507BCC" w:rsidRDefault="00507BCC" w:rsidP="00082765">
            <w:pPr>
              <w:contextualSpacing/>
              <w:rPr>
                <w:rFonts w:ascii="Century Gothic" w:eastAsia="Century Gothic" w:hAnsi="Century Gothic" w:cs="Times New Roman"/>
              </w:rPr>
            </w:pPr>
            <w:r>
              <w:rPr>
                <w:rFonts w:ascii="Century Gothic" w:eastAsia="Century Gothic" w:hAnsi="Century Gothic" w:cs="Times New Roman"/>
              </w:rPr>
              <w:t xml:space="preserve">Searching, downloading, and browsing are all addressed, albeit, in vague terms. The RUP addresses copyright, games, and definitions of inappropriate material, however, I have been unable to locate resources that provide more detailed information regarding: online research skills, safety guidelines, use of equipment for commercial gains, sanctions, and illegal use of the internet.  </w:t>
            </w:r>
          </w:p>
          <w:p w14:paraId="598D3076" w14:textId="2531B1BE" w:rsidR="00507BCC" w:rsidRDefault="00507BCC" w:rsidP="00082765">
            <w:pPr>
              <w:contextualSpacing/>
              <w:rPr>
                <w:rFonts w:ascii="Century Gothic" w:eastAsia="Century Gothic" w:hAnsi="Century Gothic" w:cs="Times New Roman"/>
              </w:rPr>
            </w:pPr>
            <w:r>
              <w:rPr>
                <w:rFonts w:ascii="Century Gothic" w:eastAsia="Century Gothic" w:hAnsi="Century Gothic" w:cs="Times New Roman"/>
              </w:rPr>
              <w:t xml:space="preserve">Being a private Christian school this gives us greater flexibility in regards to regulation of content viewed and use of technology. However, greater explanations of each and every one of the aforementioned guidelines could go a long way toward helping our students understand what exactly the school means by “responsible use.” The RUP makes references to the student handbook, social media policy, and approved iPad list, but does not provide links to all of these policies. </w:t>
            </w:r>
          </w:p>
        </w:tc>
      </w:tr>
    </w:tbl>
    <w:p w14:paraId="5B1A129E" w14:textId="77777777" w:rsidR="00082765" w:rsidRDefault="00082765" w:rsidP="00082765">
      <w:pPr>
        <w:ind w:left="360"/>
        <w:contextualSpacing/>
        <w:rPr>
          <w:rFonts w:ascii="Century Gothic" w:eastAsia="Century Gothic" w:hAnsi="Century Gothic" w:cs="Times New Roman"/>
        </w:rPr>
      </w:pPr>
    </w:p>
    <w:p w14:paraId="1249173C" w14:textId="77777777" w:rsidR="00082765" w:rsidRDefault="00082765" w:rsidP="00082765">
      <w:pPr>
        <w:ind w:left="360"/>
        <w:contextualSpacing/>
        <w:rPr>
          <w:rFonts w:ascii="Century Gothic" w:eastAsia="Century Gothic" w:hAnsi="Century Gothic" w:cs="Times New Roman"/>
        </w:rPr>
      </w:pPr>
    </w:p>
    <w:p w14:paraId="26816F7E" w14:textId="77777777" w:rsidR="003A6774" w:rsidRDefault="003A6774" w:rsidP="00082765">
      <w:pPr>
        <w:ind w:left="360"/>
        <w:contextualSpacing/>
        <w:rPr>
          <w:rFonts w:ascii="Century Gothic" w:eastAsia="Century Gothic" w:hAnsi="Century Gothic" w:cs="Times New Roman"/>
        </w:rPr>
      </w:pPr>
    </w:p>
    <w:tbl>
      <w:tblPr>
        <w:tblStyle w:val="GridTable4-Accent5"/>
        <w:tblW w:w="0" w:type="auto"/>
        <w:tblLook w:val="04A0" w:firstRow="1" w:lastRow="0" w:firstColumn="1" w:lastColumn="0" w:noHBand="0" w:noVBand="1"/>
      </w:tblPr>
      <w:tblGrid>
        <w:gridCol w:w="9350"/>
      </w:tblGrid>
      <w:tr w:rsidR="00082765" w14:paraId="26713606" w14:textId="77777777" w:rsidTr="000827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90D187D" w14:textId="77777777" w:rsidR="00082765" w:rsidRPr="00082765" w:rsidRDefault="00082765" w:rsidP="00082765">
            <w:pPr>
              <w:pStyle w:val="ListParagraph"/>
              <w:numPr>
                <w:ilvl w:val="0"/>
                <w:numId w:val="5"/>
              </w:numPr>
              <w:rPr>
                <w:rFonts w:ascii="Century Gothic" w:eastAsia="Century Gothic" w:hAnsi="Century Gothic" w:cs="Times New Roman"/>
              </w:rPr>
            </w:pPr>
            <w:r w:rsidRPr="00082765">
              <w:rPr>
                <w:rFonts w:ascii="Century Gothic" w:eastAsia="Century Gothic" w:hAnsi="Century Gothic" w:cs="Times New Roman"/>
              </w:rPr>
              <w:lastRenderedPageBreak/>
              <w:t xml:space="preserve">Go through the AUP checklist below and answer each question in regards to the current state of your school. </w:t>
            </w:r>
          </w:p>
        </w:tc>
      </w:tr>
      <w:tr w:rsidR="00082765" w14:paraId="474F09E1" w14:textId="77777777" w:rsidTr="00082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0324A03" w14:textId="77777777" w:rsidR="00082765" w:rsidRDefault="00082765" w:rsidP="00082765">
            <w:r>
              <w:rPr>
                <w:b w:val="0"/>
                <w:sz w:val="32"/>
              </w:rPr>
              <w:t xml:space="preserve">AUP checklist </w:t>
            </w:r>
          </w:p>
          <w:p w14:paraId="044E3A06" w14:textId="77777777" w:rsidR="00082765" w:rsidRDefault="00082765" w:rsidP="00082765">
            <w:pPr>
              <w:spacing w:after="53"/>
            </w:pPr>
            <w:r>
              <w:rPr>
                <w:rFonts w:ascii="Times New Roman" w:eastAsia="Times New Roman" w:hAnsi="Times New Roman" w:cs="Times New Roman"/>
                <w:sz w:val="24"/>
              </w:rPr>
              <w:t xml:space="preserve"> </w:t>
            </w:r>
            <w:r>
              <w:t xml:space="preserve">For an AUP to be robust it needs to be reviewed and updated regularly taking into consideration implementation issues that may arise. The following is a checklist that may be used when developing or revising an AUP. </w:t>
            </w:r>
          </w:p>
          <w:p w14:paraId="48149EFE" w14:textId="77777777" w:rsidR="00082765" w:rsidRDefault="00082765" w:rsidP="00082765">
            <w:pPr>
              <w:spacing w:after="39"/>
            </w:pPr>
            <w:r>
              <w:t xml:space="preserve">  </w:t>
            </w:r>
          </w:p>
          <w:p w14:paraId="19E81FF8" w14:textId="37902687" w:rsidR="00FC66A2" w:rsidRDefault="00082765" w:rsidP="00782D14">
            <w:pPr>
              <w:numPr>
                <w:ilvl w:val="0"/>
                <w:numId w:val="3"/>
              </w:numPr>
              <w:spacing w:after="76" w:line="244" w:lineRule="auto"/>
              <w:ind w:right="595" w:hanging="475"/>
              <w:rPr>
                <w:b w:val="0"/>
              </w:rPr>
            </w:pPr>
            <w:r w:rsidRPr="00082765">
              <w:rPr>
                <w:b w:val="0"/>
              </w:rPr>
              <w:t xml:space="preserve">Have AUP implementation issues arisen since the AUP was designed/revised? </w:t>
            </w:r>
          </w:p>
          <w:p w14:paraId="106E772C" w14:textId="2870B8EE" w:rsidR="00782D14" w:rsidRPr="00782D14" w:rsidRDefault="00782D14" w:rsidP="00782D14">
            <w:pPr>
              <w:pStyle w:val="ListParagraph"/>
              <w:numPr>
                <w:ilvl w:val="0"/>
                <w:numId w:val="3"/>
              </w:numPr>
            </w:pPr>
            <w:r w:rsidRPr="00782D14">
              <w:t>Yes, the use of non</w:t>
            </w:r>
            <w:r>
              <w:t>-</w:t>
            </w:r>
            <w:r w:rsidRPr="00782D14">
              <w:t>educational apps on school iPads</w:t>
            </w:r>
          </w:p>
          <w:p w14:paraId="688E3456" w14:textId="77777777" w:rsidR="00782D14" w:rsidRPr="00782D14" w:rsidRDefault="00782D14" w:rsidP="00782D14">
            <w:pPr>
              <w:spacing w:after="76" w:line="244" w:lineRule="auto"/>
              <w:ind w:left="655" w:right="595"/>
              <w:rPr>
                <w:b w:val="0"/>
              </w:rPr>
            </w:pPr>
          </w:p>
          <w:p w14:paraId="1FD77A04" w14:textId="06CF5E36" w:rsidR="00782D14" w:rsidRPr="00782D14" w:rsidRDefault="00082765" w:rsidP="00782D14">
            <w:pPr>
              <w:numPr>
                <w:ilvl w:val="0"/>
                <w:numId w:val="3"/>
              </w:numPr>
              <w:spacing w:before="86" w:after="78" w:line="244" w:lineRule="auto"/>
              <w:ind w:right="595" w:hanging="475"/>
              <w:rPr>
                <w:b w:val="0"/>
              </w:rPr>
            </w:pPr>
            <w:r w:rsidRPr="00082765">
              <w:rPr>
                <w:b w:val="0"/>
              </w:rPr>
              <w:t xml:space="preserve">Have these issues been discussed with parents, students and teachers and incorporated into an updated AUP? </w:t>
            </w:r>
          </w:p>
          <w:p w14:paraId="184C438B" w14:textId="77777777" w:rsidR="00782D14" w:rsidRPr="00782D14" w:rsidRDefault="00782D14" w:rsidP="00782D14">
            <w:pPr>
              <w:pStyle w:val="ListParagraph"/>
              <w:numPr>
                <w:ilvl w:val="0"/>
                <w:numId w:val="3"/>
              </w:numPr>
            </w:pPr>
            <w:r w:rsidRPr="00782D14">
              <w:t>Yes, an update RUP with links to an approved apps list is now available to students and parents.</w:t>
            </w:r>
          </w:p>
          <w:p w14:paraId="2F926FCB" w14:textId="77777777" w:rsidR="00782D14" w:rsidRPr="00082765" w:rsidRDefault="00782D14" w:rsidP="00782D14">
            <w:pPr>
              <w:spacing w:before="86" w:after="78" w:line="244" w:lineRule="auto"/>
              <w:ind w:left="655" w:right="595"/>
              <w:rPr>
                <w:b w:val="0"/>
              </w:rPr>
            </w:pPr>
          </w:p>
          <w:tbl>
            <w:tblPr>
              <w:tblStyle w:val="TableGrid"/>
              <w:tblW w:w="8580" w:type="dxa"/>
              <w:tblInd w:w="0" w:type="dxa"/>
              <w:tblCellMar>
                <w:top w:w="68" w:type="dxa"/>
                <w:left w:w="115" w:type="dxa"/>
                <w:right w:w="115" w:type="dxa"/>
              </w:tblCellMar>
              <w:tblLook w:val="04A0" w:firstRow="1" w:lastRow="0" w:firstColumn="1" w:lastColumn="0" w:noHBand="0" w:noVBand="1"/>
            </w:tblPr>
            <w:tblGrid>
              <w:gridCol w:w="656"/>
              <w:gridCol w:w="540"/>
              <w:gridCol w:w="7384"/>
            </w:tblGrid>
            <w:tr w:rsidR="00082765" w14:paraId="4F3C1459" w14:textId="77777777" w:rsidTr="006579F0">
              <w:trPr>
                <w:trHeight w:val="570"/>
              </w:trPr>
              <w:tc>
                <w:tcPr>
                  <w:tcW w:w="656" w:type="dxa"/>
                  <w:vMerge w:val="restart"/>
                  <w:tcBorders>
                    <w:top w:val="single" w:sz="4" w:space="0" w:color="C0C0C0"/>
                    <w:left w:val="nil"/>
                    <w:bottom w:val="single" w:sz="4" w:space="0" w:color="C0C0C0"/>
                    <w:right w:val="nil"/>
                  </w:tcBorders>
                  <w:hideMark/>
                </w:tcPr>
                <w:p w14:paraId="12C6E39E" w14:textId="77777777" w:rsidR="00082765" w:rsidRDefault="00082765" w:rsidP="00082765">
                  <w:pPr>
                    <w:spacing w:line="276" w:lineRule="auto"/>
                    <w:jc w:val="right"/>
                    <w:rPr>
                      <w:sz w:val="20"/>
                    </w:rPr>
                  </w:pPr>
                  <w:r>
                    <w:t xml:space="preserve"> </w:t>
                  </w:r>
                  <w:r>
                    <w:rPr>
                      <w:rFonts w:ascii="Wingdings" w:eastAsia="Wingdings" w:hAnsi="Wingdings" w:cs="Wingdings"/>
                      <w:sz w:val="32"/>
                    </w:rPr>
                    <w:t></w:t>
                  </w:r>
                  <w:r>
                    <w:rPr>
                      <w:rFonts w:ascii="Arial" w:eastAsia="Arial" w:hAnsi="Arial" w:cs="Arial"/>
                      <w:sz w:val="32"/>
                    </w:rPr>
                    <w:t xml:space="preserve"> </w:t>
                  </w:r>
                  <w:r>
                    <w:rPr>
                      <w:sz w:val="20"/>
                    </w:rPr>
                    <w:t xml:space="preserve"> </w:t>
                  </w:r>
                </w:p>
              </w:tc>
              <w:tc>
                <w:tcPr>
                  <w:tcW w:w="7924" w:type="dxa"/>
                  <w:gridSpan w:val="2"/>
                  <w:tcBorders>
                    <w:top w:val="single" w:sz="4" w:space="0" w:color="C0C0C0"/>
                    <w:left w:val="single" w:sz="4" w:space="0" w:color="FFFFFF"/>
                    <w:bottom w:val="single" w:sz="4" w:space="0" w:color="C0C0C0"/>
                    <w:right w:val="single" w:sz="4" w:space="0" w:color="FFFFFF"/>
                  </w:tcBorders>
                  <w:hideMark/>
                </w:tcPr>
                <w:p w14:paraId="7316DD7E" w14:textId="77777777" w:rsidR="00082765" w:rsidRDefault="00082765" w:rsidP="00082765">
                  <w:pPr>
                    <w:spacing w:after="74"/>
                    <w:ind w:left="72"/>
                    <w:rPr>
                      <w:sz w:val="20"/>
                    </w:rPr>
                  </w:pPr>
                  <w:r>
                    <w:rPr>
                      <w:sz w:val="20"/>
                    </w:rPr>
                    <w:t xml:space="preserve">Given that an AUP is in place, can the school confidently address the following scenarios?  </w:t>
                  </w:r>
                </w:p>
              </w:tc>
            </w:tr>
            <w:tr w:rsidR="00082765" w14:paraId="123B2F24" w14:textId="77777777" w:rsidTr="006579F0">
              <w:trPr>
                <w:trHeight w:val="782"/>
              </w:trPr>
              <w:tc>
                <w:tcPr>
                  <w:tcW w:w="0" w:type="auto"/>
                  <w:vMerge/>
                  <w:tcBorders>
                    <w:top w:val="single" w:sz="4" w:space="0" w:color="C0C0C0"/>
                    <w:left w:val="nil"/>
                    <w:bottom w:val="single" w:sz="4" w:space="0" w:color="C0C0C0"/>
                    <w:right w:val="nil"/>
                  </w:tcBorders>
                  <w:vAlign w:val="center"/>
                  <w:hideMark/>
                </w:tcPr>
                <w:p w14:paraId="4EE5719F" w14:textId="77777777" w:rsidR="00082765" w:rsidRDefault="00082765" w:rsidP="00082765">
                  <w:pPr>
                    <w:rPr>
                      <w:rFonts w:ascii="Verdana" w:eastAsia="Verdana" w:hAnsi="Verdana" w:cs="Verdana"/>
                      <w:color w:val="000000"/>
                      <w:sz w:val="20"/>
                    </w:rPr>
                  </w:pPr>
                </w:p>
              </w:tc>
              <w:tc>
                <w:tcPr>
                  <w:tcW w:w="7924" w:type="dxa"/>
                  <w:gridSpan w:val="2"/>
                  <w:tcBorders>
                    <w:top w:val="single" w:sz="4" w:space="0" w:color="C0C0C0"/>
                    <w:left w:val="single" w:sz="4" w:space="0" w:color="FFFFFF"/>
                    <w:bottom w:val="single" w:sz="4" w:space="0" w:color="C0C0C0"/>
                    <w:right w:val="single" w:sz="4" w:space="0" w:color="FFFFFF"/>
                  </w:tcBorders>
                  <w:hideMark/>
                </w:tcPr>
                <w:p w14:paraId="5C5DF3F0" w14:textId="77777777" w:rsidR="00082765" w:rsidRDefault="00082765" w:rsidP="00082765">
                  <w:pPr>
                    <w:spacing w:after="40" w:line="220" w:lineRule="auto"/>
                    <w:ind w:left="540" w:hanging="475"/>
                    <w:rPr>
                      <w:sz w:val="20"/>
                    </w:rPr>
                  </w:pPr>
                  <w:r>
                    <w:rPr>
                      <w:rFonts w:ascii="Courier New" w:eastAsia="Courier New" w:hAnsi="Courier New" w:cs="Courier New"/>
                      <w:sz w:val="49"/>
                      <w:vertAlign w:val="subscript"/>
                    </w:rPr>
                    <w:t>□</w:t>
                  </w:r>
                  <w:r>
                    <w:rPr>
                      <w:rFonts w:ascii="Arial" w:eastAsia="Arial" w:hAnsi="Arial" w:cs="Arial"/>
                      <w:sz w:val="32"/>
                    </w:rPr>
                    <w:t xml:space="preserve"> </w:t>
                  </w:r>
                  <w:r>
                    <w:rPr>
                      <w:sz w:val="20"/>
                    </w:rPr>
                    <w:t xml:space="preserve"> A student is found using a website to arrange a face-to-face meeting with a friend </w:t>
                  </w:r>
                </w:p>
                <w:p w14:paraId="1B64327B" w14:textId="77777777" w:rsidR="00782D14" w:rsidRDefault="00782D14" w:rsidP="00082765">
                  <w:pPr>
                    <w:spacing w:after="40" w:line="220" w:lineRule="auto"/>
                    <w:ind w:left="540" w:hanging="475"/>
                    <w:rPr>
                      <w:sz w:val="20"/>
                    </w:rPr>
                  </w:pPr>
                </w:p>
                <w:p w14:paraId="6DF1488F" w14:textId="5C7998C6" w:rsidR="00782D14" w:rsidRPr="00782D14" w:rsidRDefault="00782D14" w:rsidP="00782D14">
                  <w:pPr>
                    <w:spacing w:after="40" w:line="220" w:lineRule="auto"/>
                    <w:rPr>
                      <w:b/>
                      <w:sz w:val="20"/>
                    </w:rPr>
                  </w:pPr>
                  <w:r w:rsidRPr="00782D14">
                    <w:rPr>
                      <w:b/>
                      <w:sz w:val="20"/>
                    </w:rPr>
                    <w:t>No</w:t>
                  </w:r>
                </w:p>
                <w:p w14:paraId="5344D20D" w14:textId="77777777" w:rsidR="00782D14" w:rsidRDefault="00782D14" w:rsidP="00082765">
                  <w:pPr>
                    <w:spacing w:after="40" w:line="220" w:lineRule="auto"/>
                    <w:ind w:left="540" w:hanging="475"/>
                    <w:rPr>
                      <w:sz w:val="20"/>
                    </w:rPr>
                  </w:pPr>
                </w:p>
              </w:tc>
            </w:tr>
            <w:tr w:rsidR="00082765" w14:paraId="60B99B4A" w14:textId="77777777" w:rsidTr="006579F0">
              <w:trPr>
                <w:trHeight w:val="579"/>
              </w:trPr>
              <w:tc>
                <w:tcPr>
                  <w:tcW w:w="0" w:type="auto"/>
                  <w:vMerge/>
                  <w:tcBorders>
                    <w:top w:val="single" w:sz="4" w:space="0" w:color="C0C0C0"/>
                    <w:left w:val="nil"/>
                    <w:bottom w:val="single" w:sz="4" w:space="0" w:color="C0C0C0"/>
                    <w:right w:val="nil"/>
                  </w:tcBorders>
                  <w:vAlign w:val="center"/>
                  <w:hideMark/>
                </w:tcPr>
                <w:p w14:paraId="038C3992" w14:textId="77777777" w:rsidR="00082765" w:rsidRDefault="00082765" w:rsidP="00082765">
                  <w:pPr>
                    <w:rPr>
                      <w:rFonts w:ascii="Verdana" w:eastAsia="Verdana" w:hAnsi="Verdana" w:cs="Verdana"/>
                      <w:color w:val="000000"/>
                      <w:sz w:val="20"/>
                    </w:rPr>
                  </w:pPr>
                </w:p>
              </w:tc>
              <w:tc>
                <w:tcPr>
                  <w:tcW w:w="540" w:type="dxa"/>
                  <w:tcBorders>
                    <w:top w:val="single" w:sz="4" w:space="0" w:color="C0C0C0"/>
                    <w:left w:val="single" w:sz="4" w:space="0" w:color="FFFFFF"/>
                    <w:bottom w:val="single" w:sz="4" w:space="0" w:color="C0C0C0"/>
                    <w:right w:val="single" w:sz="4" w:space="0" w:color="FFFFFF"/>
                  </w:tcBorders>
                  <w:hideMark/>
                </w:tcPr>
                <w:p w14:paraId="35894013" w14:textId="77777777" w:rsidR="00082765" w:rsidRDefault="00082765" w:rsidP="00082765">
                  <w:pPr>
                    <w:spacing w:line="276" w:lineRule="auto"/>
                    <w:ind w:left="65"/>
                    <w:rPr>
                      <w:sz w:val="20"/>
                    </w:rPr>
                  </w:pPr>
                  <w:r>
                    <w:rPr>
                      <w:rFonts w:ascii="Courier New" w:eastAsia="Courier New" w:hAnsi="Courier New" w:cs="Courier New"/>
                      <w:sz w:val="32"/>
                    </w:rPr>
                    <w:t>□</w:t>
                  </w:r>
                  <w:r>
                    <w:rPr>
                      <w:rFonts w:ascii="Arial" w:eastAsia="Arial" w:hAnsi="Arial" w:cs="Arial"/>
                      <w:sz w:val="32"/>
                    </w:rPr>
                    <w:t xml:space="preserve"> </w:t>
                  </w:r>
                </w:p>
              </w:tc>
              <w:tc>
                <w:tcPr>
                  <w:tcW w:w="7384" w:type="dxa"/>
                  <w:tcBorders>
                    <w:top w:val="single" w:sz="4" w:space="0" w:color="C0C0C0"/>
                    <w:left w:val="single" w:sz="4" w:space="0" w:color="FFFFFF"/>
                    <w:bottom w:val="single" w:sz="4" w:space="0" w:color="C0C0C0"/>
                    <w:right w:val="single" w:sz="4" w:space="0" w:color="FFFFFF"/>
                  </w:tcBorders>
                  <w:hideMark/>
                </w:tcPr>
                <w:p w14:paraId="3FE6C377" w14:textId="77777777" w:rsidR="00082765" w:rsidRDefault="00082765" w:rsidP="00082765">
                  <w:pPr>
                    <w:spacing w:after="39" w:line="223" w:lineRule="auto"/>
                    <w:ind w:left="115" w:hanging="115"/>
                    <w:rPr>
                      <w:sz w:val="20"/>
                    </w:rPr>
                  </w:pPr>
                  <w:r>
                    <w:rPr>
                      <w:sz w:val="20"/>
                    </w:rPr>
                    <w:t xml:space="preserve"> The school uses filtering software but a student accidentally accesses a pornographic website while in your care.</w:t>
                  </w:r>
                </w:p>
                <w:p w14:paraId="6D6BEEEB" w14:textId="79F7A7DB" w:rsidR="00782D14" w:rsidRPr="00782D14" w:rsidRDefault="00782D14" w:rsidP="00082765">
                  <w:pPr>
                    <w:spacing w:after="39" w:line="223" w:lineRule="auto"/>
                    <w:ind w:left="115" w:hanging="115"/>
                    <w:rPr>
                      <w:b/>
                      <w:sz w:val="20"/>
                    </w:rPr>
                  </w:pPr>
                  <w:r w:rsidRPr="00782D14">
                    <w:rPr>
                      <w:b/>
                      <w:sz w:val="20"/>
                    </w:rPr>
                    <w:t xml:space="preserve">Not specifically mentioned </w:t>
                  </w:r>
                </w:p>
              </w:tc>
            </w:tr>
            <w:tr w:rsidR="00082765" w14:paraId="42A032E1" w14:textId="77777777" w:rsidTr="006579F0">
              <w:trPr>
                <w:trHeight w:val="570"/>
              </w:trPr>
              <w:tc>
                <w:tcPr>
                  <w:tcW w:w="0" w:type="auto"/>
                  <w:vMerge/>
                  <w:tcBorders>
                    <w:top w:val="single" w:sz="4" w:space="0" w:color="C0C0C0"/>
                    <w:left w:val="nil"/>
                    <w:bottom w:val="single" w:sz="4" w:space="0" w:color="C0C0C0"/>
                    <w:right w:val="nil"/>
                  </w:tcBorders>
                  <w:vAlign w:val="center"/>
                  <w:hideMark/>
                </w:tcPr>
                <w:p w14:paraId="4B8751B4" w14:textId="77777777" w:rsidR="00082765" w:rsidRDefault="00082765" w:rsidP="00082765">
                  <w:pPr>
                    <w:rPr>
                      <w:rFonts w:ascii="Verdana" w:eastAsia="Verdana" w:hAnsi="Verdana" w:cs="Verdana"/>
                      <w:color w:val="000000"/>
                      <w:sz w:val="20"/>
                    </w:rPr>
                  </w:pPr>
                </w:p>
              </w:tc>
              <w:tc>
                <w:tcPr>
                  <w:tcW w:w="540" w:type="dxa"/>
                  <w:tcBorders>
                    <w:top w:val="single" w:sz="4" w:space="0" w:color="C0C0C0"/>
                    <w:left w:val="single" w:sz="4" w:space="0" w:color="FFFFFF"/>
                    <w:bottom w:val="single" w:sz="4" w:space="0" w:color="C0C0C0"/>
                    <w:right w:val="single" w:sz="4" w:space="0" w:color="FFFFFF"/>
                  </w:tcBorders>
                  <w:hideMark/>
                </w:tcPr>
                <w:p w14:paraId="21564ED8" w14:textId="77777777" w:rsidR="00082765" w:rsidRDefault="00082765" w:rsidP="00082765">
                  <w:pPr>
                    <w:spacing w:line="276" w:lineRule="auto"/>
                    <w:ind w:left="65"/>
                    <w:rPr>
                      <w:sz w:val="20"/>
                    </w:rPr>
                  </w:pPr>
                  <w:r>
                    <w:rPr>
                      <w:rFonts w:ascii="Courier New" w:eastAsia="Courier New" w:hAnsi="Courier New" w:cs="Courier New"/>
                      <w:sz w:val="32"/>
                    </w:rPr>
                    <w:t>□</w:t>
                  </w:r>
                  <w:r>
                    <w:rPr>
                      <w:rFonts w:ascii="Arial" w:eastAsia="Arial" w:hAnsi="Arial" w:cs="Arial"/>
                      <w:sz w:val="32"/>
                    </w:rPr>
                    <w:t xml:space="preserve"> </w:t>
                  </w:r>
                </w:p>
              </w:tc>
              <w:tc>
                <w:tcPr>
                  <w:tcW w:w="7384" w:type="dxa"/>
                  <w:tcBorders>
                    <w:top w:val="single" w:sz="4" w:space="0" w:color="C0C0C0"/>
                    <w:left w:val="single" w:sz="4" w:space="0" w:color="FFFFFF"/>
                    <w:bottom w:val="single" w:sz="4" w:space="0" w:color="C0C0C0"/>
                    <w:right w:val="single" w:sz="4" w:space="0" w:color="FFFFFF"/>
                  </w:tcBorders>
                  <w:hideMark/>
                </w:tcPr>
                <w:p w14:paraId="2CEF6F93" w14:textId="77777777" w:rsidR="00082765" w:rsidRDefault="00082765" w:rsidP="00082765">
                  <w:pPr>
                    <w:spacing w:after="39" w:line="225" w:lineRule="auto"/>
                    <w:ind w:left="115" w:hanging="115"/>
                    <w:rPr>
                      <w:sz w:val="20"/>
                    </w:rPr>
                  </w:pPr>
                  <w:r>
                    <w:rPr>
                      <w:sz w:val="20"/>
                    </w:rPr>
                    <w:t xml:space="preserve"> A student publishes defamatory information on a personal website about a peer  </w:t>
                  </w:r>
                </w:p>
                <w:p w14:paraId="071B6FE4" w14:textId="61A99DE6" w:rsidR="00782D14" w:rsidRPr="00782D14" w:rsidRDefault="00782D14" w:rsidP="00082765">
                  <w:pPr>
                    <w:spacing w:after="39" w:line="225" w:lineRule="auto"/>
                    <w:ind w:left="115" w:hanging="115"/>
                    <w:rPr>
                      <w:b/>
                      <w:sz w:val="20"/>
                    </w:rPr>
                  </w:pPr>
                  <w:r w:rsidRPr="00782D14">
                    <w:rPr>
                      <w:b/>
                      <w:sz w:val="20"/>
                    </w:rPr>
                    <w:t>The school has a social networking policy that is available, but it is not part of the RUP</w:t>
                  </w:r>
                </w:p>
              </w:tc>
            </w:tr>
            <w:tr w:rsidR="00082765" w14:paraId="5A5FB661" w14:textId="77777777" w:rsidTr="006579F0">
              <w:trPr>
                <w:trHeight w:val="444"/>
              </w:trPr>
              <w:tc>
                <w:tcPr>
                  <w:tcW w:w="656" w:type="dxa"/>
                  <w:tcBorders>
                    <w:top w:val="single" w:sz="4" w:space="0" w:color="C0C0C0"/>
                    <w:left w:val="single" w:sz="4" w:space="0" w:color="FFFFFF"/>
                    <w:bottom w:val="single" w:sz="4" w:space="0" w:color="C0C0C0"/>
                    <w:right w:val="single" w:sz="4" w:space="0" w:color="FFFFFF"/>
                  </w:tcBorders>
                  <w:hideMark/>
                </w:tcPr>
                <w:p w14:paraId="16CCAC4B" w14:textId="77777777" w:rsidR="00082765" w:rsidRDefault="00082765" w:rsidP="00082765">
                  <w:pPr>
                    <w:spacing w:line="276" w:lineRule="auto"/>
                    <w:jc w:val="right"/>
                    <w:rPr>
                      <w:sz w:val="20"/>
                    </w:rPr>
                  </w:pPr>
                  <w:r>
                    <w:rPr>
                      <w:rFonts w:ascii="Wingdings" w:eastAsia="Wingdings" w:hAnsi="Wingdings" w:cs="Wingdings"/>
                      <w:sz w:val="32"/>
                    </w:rPr>
                    <w:t></w:t>
                  </w:r>
                  <w:r>
                    <w:rPr>
                      <w:rFonts w:ascii="Arial" w:eastAsia="Arial" w:hAnsi="Arial" w:cs="Arial"/>
                      <w:sz w:val="32"/>
                    </w:rPr>
                    <w:t xml:space="preserve"> </w:t>
                  </w:r>
                  <w:r>
                    <w:rPr>
                      <w:sz w:val="20"/>
                    </w:rPr>
                    <w:t xml:space="preserve"> </w:t>
                  </w:r>
                </w:p>
              </w:tc>
              <w:tc>
                <w:tcPr>
                  <w:tcW w:w="7924" w:type="dxa"/>
                  <w:gridSpan w:val="2"/>
                  <w:tcBorders>
                    <w:top w:val="single" w:sz="4" w:space="0" w:color="C0C0C0"/>
                    <w:left w:val="single" w:sz="4" w:space="0" w:color="FFFFFF"/>
                    <w:bottom w:val="single" w:sz="4" w:space="0" w:color="C0C0C0"/>
                    <w:right w:val="single" w:sz="4" w:space="0" w:color="FFFFFF"/>
                  </w:tcBorders>
                  <w:hideMark/>
                </w:tcPr>
                <w:p w14:paraId="0EEE6927" w14:textId="77777777" w:rsidR="00082765" w:rsidRDefault="00082765" w:rsidP="00082765">
                  <w:pPr>
                    <w:spacing w:line="276" w:lineRule="auto"/>
                    <w:rPr>
                      <w:sz w:val="20"/>
                    </w:rPr>
                  </w:pPr>
                  <w:r>
                    <w:rPr>
                      <w:sz w:val="20"/>
                    </w:rPr>
                    <w:t xml:space="preserve">Has the AUP had a positive impact on curriculum delivery? </w:t>
                  </w:r>
                </w:p>
                <w:p w14:paraId="44FA88D2" w14:textId="2A553351" w:rsidR="0080569D" w:rsidRPr="0080569D" w:rsidRDefault="0080569D" w:rsidP="00082765">
                  <w:pPr>
                    <w:spacing w:line="276" w:lineRule="auto"/>
                    <w:rPr>
                      <w:b/>
                      <w:sz w:val="20"/>
                    </w:rPr>
                  </w:pPr>
                  <w:r w:rsidRPr="0080569D">
                    <w:rPr>
                      <w:b/>
                      <w:sz w:val="20"/>
                    </w:rPr>
                    <w:t xml:space="preserve">Because the </w:t>
                  </w:r>
                  <w:r>
                    <w:rPr>
                      <w:b/>
                      <w:sz w:val="20"/>
                    </w:rPr>
                    <w:t xml:space="preserve">RUP is </w:t>
                  </w:r>
                  <w:r w:rsidRPr="0080569D">
                    <w:rPr>
                      <w:b/>
                      <w:sz w:val="20"/>
                    </w:rPr>
                    <w:t xml:space="preserve">a living document, constantly being updated, issues are addressed as they arise which has had made curriculum delivery easier. </w:t>
                  </w:r>
                </w:p>
              </w:tc>
            </w:tr>
            <w:tr w:rsidR="00082765" w14:paraId="33C0FC1C" w14:textId="77777777" w:rsidTr="006579F0">
              <w:trPr>
                <w:trHeight w:val="390"/>
              </w:trPr>
              <w:tc>
                <w:tcPr>
                  <w:tcW w:w="656" w:type="dxa"/>
                  <w:tcBorders>
                    <w:top w:val="single" w:sz="4" w:space="0" w:color="C0C0C0"/>
                    <w:left w:val="single" w:sz="4" w:space="0" w:color="FFFFFF"/>
                    <w:bottom w:val="single" w:sz="4" w:space="0" w:color="C0C0C0"/>
                    <w:right w:val="single" w:sz="4" w:space="0" w:color="FFFFFF"/>
                  </w:tcBorders>
                  <w:hideMark/>
                </w:tcPr>
                <w:p w14:paraId="24E49C21" w14:textId="77777777" w:rsidR="00082765" w:rsidRDefault="00082765" w:rsidP="00082765">
                  <w:pPr>
                    <w:spacing w:line="276" w:lineRule="auto"/>
                    <w:jc w:val="right"/>
                    <w:rPr>
                      <w:sz w:val="20"/>
                    </w:rPr>
                  </w:pPr>
                  <w:r>
                    <w:rPr>
                      <w:rFonts w:ascii="Wingdings" w:eastAsia="Wingdings" w:hAnsi="Wingdings" w:cs="Wingdings"/>
                      <w:sz w:val="32"/>
                    </w:rPr>
                    <w:t></w:t>
                  </w:r>
                  <w:r>
                    <w:rPr>
                      <w:rFonts w:ascii="Arial" w:eastAsia="Arial" w:hAnsi="Arial" w:cs="Arial"/>
                      <w:sz w:val="32"/>
                    </w:rPr>
                    <w:t xml:space="preserve"> </w:t>
                  </w:r>
                  <w:r>
                    <w:rPr>
                      <w:sz w:val="20"/>
                    </w:rPr>
                    <w:t xml:space="preserve"> </w:t>
                  </w:r>
                </w:p>
              </w:tc>
              <w:tc>
                <w:tcPr>
                  <w:tcW w:w="7924" w:type="dxa"/>
                  <w:gridSpan w:val="2"/>
                  <w:tcBorders>
                    <w:top w:val="single" w:sz="4" w:space="0" w:color="C0C0C0"/>
                    <w:left w:val="single" w:sz="4" w:space="0" w:color="FFFFFF"/>
                    <w:bottom w:val="single" w:sz="4" w:space="0" w:color="C0C0C0"/>
                    <w:right w:val="single" w:sz="4" w:space="0" w:color="FFFFFF"/>
                  </w:tcBorders>
                  <w:hideMark/>
                </w:tcPr>
                <w:p w14:paraId="219E805F" w14:textId="77777777" w:rsidR="00082765" w:rsidRDefault="00082765" w:rsidP="00082765">
                  <w:pPr>
                    <w:spacing w:line="276" w:lineRule="auto"/>
                    <w:rPr>
                      <w:sz w:val="20"/>
                    </w:rPr>
                  </w:pPr>
                  <w:r>
                    <w:rPr>
                      <w:sz w:val="20"/>
                    </w:rPr>
                    <w:t xml:space="preserve">Has the AUP as a code of Internet use transferred to home use? </w:t>
                  </w:r>
                </w:p>
                <w:p w14:paraId="71465F40" w14:textId="4D92E2FB" w:rsidR="0080569D" w:rsidRPr="0080569D" w:rsidRDefault="0080569D" w:rsidP="00082765">
                  <w:pPr>
                    <w:spacing w:line="276" w:lineRule="auto"/>
                    <w:rPr>
                      <w:b/>
                      <w:sz w:val="20"/>
                    </w:rPr>
                  </w:pPr>
                  <w:r w:rsidRPr="0080569D">
                    <w:rPr>
                      <w:b/>
                      <w:sz w:val="20"/>
                    </w:rPr>
                    <w:t xml:space="preserve">The RUP is designed to act as a code for home use, however there is no way to ensure that it is being accurately followed. </w:t>
                  </w:r>
                </w:p>
              </w:tc>
            </w:tr>
            <w:tr w:rsidR="00082765" w14:paraId="180B5188" w14:textId="77777777" w:rsidTr="006579F0">
              <w:trPr>
                <w:trHeight w:val="525"/>
              </w:trPr>
              <w:tc>
                <w:tcPr>
                  <w:tcW w:w="656" w:type="dxa"/>
                  <w:tcBorders>
                    <w:top w:val="single" w:sz="4" w:space="0" w:color="C0C0C0"/>
                    <w:left w:val="single" w:sz="4" w:space="0" w:color="FFFFFF"/>
                    <w:bottom w:val="single" w:sz="4" w:space="0" w:color="C0C0C0"/>
                    <w:right w:val="single" w:sz="4" w:space="0" w:color="FFFFFF"/>
                  </w:tcBorders>
                  <w:hideMark/>
                </w:tcPr>
                <w:p w14:paraId="0D947A58" w14:textId="5BB0C0D2" w:rsidR="00082765" w:rsidRDefault="00082765" w:rsidP="00082765">
                  <w:pPr>
                    <w:spacing w:line="276" w:lineRule="auto"/>
                    <w:jc w:val="right"/>
                    <w:rPr>
                      <w:sz w:val="20"/>
                    </w:rPr>
                  </w:pPr>
                  <w:r>
                    <w:rPr>
                      <w:rFonts w:ascii="Wingdings" w:eastAsia="Wingdings" w:hAnsi="Wingdings" w:cs="Wingdings"/>
                      <w:sz w:val="32"/>
                    </w:rPr>
                    <w:t></w:t>
                  </w:r>
                  <w:r>
                    <w:rPr>
                      <w:rFonts w:ascii="Arial" w:eastAsia="Arial" w:hAnsi="Arial" w:cs="Arial"/>
                      <w:sz w:val="32"/>
                    </w:rPr>
                    <w:t xml:space="preserve"> </w:t>
                  </w:r>
                  <w:r>
                    <w:rPr>
                      <w:sz w:val="20"/>
                    </w:rPr>
                    <w:t xml:space="preserve"> </w:t>
                  </w:r>
                </w:p>
              </w:tc>
              <w:tc>
                <w:tcPr>
                  <w:tcW w:w="7924" w:type="dxa"/>
                  <w:gridSpan w:val="2"/>
                  <w:tcBorders>
                    <w:top w:val="single" w:sz="4" w:space="0" w:color="C0C0C0"/>
                    <w:left w:val="single" w:sz="4" w:space="0" w:color="FFFFFF"/>
                    <w:bottom w:val="single" w:sz="4" w:space="0" w:color="C0C0C0"/>
                    <w:right w:val="single" w:sz="4" w:space="0" w:color="FFFFFF"/>
                  </w:tcBorders>
                  <w:hideMark/>
                </w:tcPr>
                <w:p w14:paraId="171AA5B5" w14:textId="77777777" w:rsidR="00082765" w:rsidRDefault="00082765" w:rsidP="00082765">
                  <w:pPr>
                    <w:spacing w:after="77"/>
                    <w:rPr>
                      <w:sz w:val="20"/>
                    </w:rPr>
                  </w:pPr>
                  <w:r>
                    <w:rPr>
                      <w:sz w:val="20"/>
                    </w:rPr>
                    <w:t xml:space="preserve">Does an open dialogue exist between students and teachers relating to Internet misuse and safety issues? </w:t>
                  </w:r>
                </w:p>
                <w:p w14:paraId="14262FFA" w14:textId="7453C128" w:rsidR="0080569D" w:rsidRPr="0080569D" w:rsidRDefault="0080569D" w:rsidP="00082765">
                  <w:pPr>
                    <w:spacing w:after="77"/>
                    <w:rPr>
                      <w:b/>
                      <w:sz w:val="20"/>
                    </w:rPr>
                  </w:pPr>
                  <w:r w:rsidRPr="0080569D">
                    <w:rPr>
                      <w:b/>
                      <w:sz w:val="20"/>
                    </w:rPr>
                    <w:t xml:space="preserve">Yes </w:t>
                  </w:r>
                </w:p>
              </w:tc>
            </w:tr>
            <w:tr w:rsidR="00082765" w14:paraId="344E1360" w14:textId="77777777" w:rsidTr="006579F0">
              <w:trPr>
                <w:trHeight w:val="417"/>
              </w:trPr>
              <w:tc>
                <w:tcPr>
                  <w:tcW w:w="656" w:type="dxa"/>
                  <w:tcBorders>
                    <w:top w:val="single" w:sz="4" w:space="0" w:color="C0C0C0"/>
                    <w:left w:val="single" w:sz="4" w:space="0" w:color="FFFFFF"/>
                    <w:bottom w:val="single" w:sz="4" w:space="0" w:color="C0C0C0"/>
                    <w:right w:val="single" w:sz="4" w:space="0" w:color="FFFFFF"/>
                  </w:tcBorders>
                  <w:hideMark/>
                </w:tcPr>
                <w:p w14:paraId="05437B5E" w14:textId="77777777" w:rsidR="00082765" w:rsidRDefault="00082765" w:rsidP="00082765">
                  <w:pPr>
                    <w:spacing w:line="276" w:lineRule="auto"/>
                    <w:jc w:val="right"/>
                    <w:rPr>
                      <w:sz w:val="20"/>
                    </w:rPr>
                  </w:pPr>
                  <w:r>
                    <w:rPr>
                      <w:rFonts w:ascii="Wingdings" w:eastAsia="Wingdings" w:hAnsi="Wingdings" w:cs="Wingdings"/>
                      <w:sz w:val="32"/>
                    </w:rPr>
                    <w:t></w:t>
                  </w:r>
                  <w:r>
                    <w:rPr>
                      <w:rFonts w:ascii="Arial" w:eastAsia="Arial" w:hAnsi="Arial" w:cs="Arial"/>
                      <w:sz w:val="32"/>
                    </w:rPr>
                    <w:t xml:space="preserve"> </w:t>
                  </w:r>
                  <w:r>
                    <w:rPr>
                      <w:sz w:val="20"/>
                    </w:rPr>
                    <w:t xml:space="preserve"> </w:t>
                  </w:r>
                </w:p>
              </w:tc>
              <w:tc>
                <w:tcPr>
                  <w:tcW w:w="7924" w:type="dxa"/>
                  <w:gridSpan w:val="2"/>
                  <w:tcBorders>
                    <w:top w:val="single" w:sz="4" w:space="0" w:color="C0C0C0"/>
                    <w:left w:val="single" w:sz="4" w:space="0" w:color="FFFFFF"/>
                    <w:bottom w:val="single" w:sz="4" w:space="0" w:color="C0C0C0"/>
                    <w:right w:val="single" w:sz="4" w:space="0" w:color="FFFFFF"/>
                  </w:tcBorders>
                  <w:vAlign w:val="bottom"/>
                  <w:hideMark/>
                </w:tcPr>
                <w:p w14:paraId="08E07807" w14:textId="77777777" w:rsidR="00082765" w:rsidRDefault="00082765" w:rsidP="00082765">
                  <w:pPr>
                    <w:spacing w:after="77"/>
                    <w:rPr>
                      <w:sz w:val="20"/>
                    </w:rPr>
                  </w:pPr>
                  <w:r>
                    <w:rPr>
                      <w:sz w:val="20"/>
                    </w:rPr>
                    <w:t xml:space="preserve">Are teachers’ and students’ internet safety training needs being met? </w:t>
                  </w:r>
                </w:p>
                <w:p w14:paraId="4C260268" w14:textId="693738C1" w:rsidR="0080569D" w:rsidRPr="0080569D" w:rsidRDefault="0080569D" w:rsidP="00082765">
                  <w:pPr>
                    <w:spacing w:after="77"/>
                    <w:rPr>
                      <w:b/>
                      <w:sz w:val="20"/>
                    </w:rPr>
                  </w:pPr>
                  <w:r w:rsidRPr="0080569D">
                    <w:rPr>
                      <w:b/>
                      <w:sz w:val="20"/>
                    </w:rPr>
                    <w:t xml:space="preserve">Not on a high school level. </w:t>
                  </w:r>
                </w:p>
                <w:p w14:paraId="266964D5" w14:textId="77777777" w:rsidR="00082765" w:rsidRDefault="00082765" w:rsidP="00082765">
                  <w:pPr>
                    <w:spacing w:line="276" w:lineRule="auto"/>
                    <w:rPr>
                      <w:sz w:val="20"/>
                    </w:rPr>
                  </w:pPr>
                  <w:r>
                    <w:rPr>
                      <w:sz w:val="20"/>
                    </w:rPr>
                    <w:t xml:space="preserve"> </w:t>
                  </w:r>
                </w:p>
              </w:tc>
            </w:tr>
          </w:tbl>
          <w:p w14:paraId="324A151B" w14:textId="77777777" w:rsidR="00082765" w:rsidRDefault="00082765" w:rsidP="00082765"/>
          <w:p w14:paraId="5F186E5F" w14:textId="77777777" w:rsidR="00082765" w:rsidRDefault="00082765" w:rsidP="00082765">
            <w:pPr>
              <w:contextualSpacing/>
              <w:rPr>
                <w:rFonts w:ascii="Century Gothic" w:eastAsia="Century Gothic" w:hAnsi="Century Gothic" w:cs="Times New Roman"/>
              </w:rPr>
            </w:pPr>
          </w:p>
        </w:tc>
      </w:tr>
      <w:tr w:rsidR="00FC66A2" w14:paraId="506A94A8" w14:textId="77777777" w:rsidTr="00082765">
        <w:tc>
          <w:tcPr>
            <w:cnfStyle w:val="001000000000" w:firstRow="0" w:lastRow="0" w:firstColumn="1" w:lastColumn="0" w:oddVBand="0" w:evenVBand="0" w:oddHBand="0" w:evenHBand="0" w:firstRowFirstColumn="0" w:firstRowLastColumn="0" w:lastRowFirstColumn="0" w:lastRowLastColumn="0"/>
            <w:tcW w:w="9350" w:type="dxa"/>
          </w:tcPr>
          <w:p w14:paraId="3942BD72" w14:textId="1FCF8A68" w:rsidR="00782D14" w:rsidRPr="0080569D" w:rsidRDefault="00782D14" w:rsidP="0080569D">
            <w:pPr>
              <w:rPr>
                <w:sz w:val="32"/>
              </w:rPr>
            </w:pPr>
          </w:p>
        </w:tc>
      </w:tr>
    </w:tbl>
    <w:p w14:paraId="3E3ACEA3" w14:textId="77777777" w:rsidR="00082765" w:rsidRDefault="00082765" w:rsidP="00082765">
      <w:pPr>
        <w:ind w:left="360"/>
        <w:contextualSpacing/>
        <w:rPr>
          <w:rFonts w:ascii="Century Gothic" w:eastAsia="Century Gothic" w:hAnsi="Century Gothic" w:cs="Times New Roman"/>
        </w:rPr>
      </w:pPr>
    </w:p>
    <w:p w14:paraId="71160B25" w14:textId="77777777" w:rsidR="00082765" w:rsidRDefault="00082765" w:rsidP="00082765">
      <w:pPr>
        <w:ind w:left="360"/>
        <w:contextualSpacing/>
        <w:rPr>
          <w:rFonts w:ascii="Century Gothic" w:eastAsia="Century Gothic" w:hAnsi="Century Gothic" w:cs="Times New Roman"/>
        </w:rPr>
      </w:pPr>
    </w:p>
    <w:tbl>
      <w:tblPr>
        <w:tblStyle w:val="GridTable4-Accent5"/>
        <w:tblW w:w="0" w:type="auto"/>
        <w:tblLook w:val="04A0" w:firstRow="1" w:lastRow="0" w:firstColumn="1" w:lastColumn="0" w:noHBand="0" w:noVBand="1"/>
      </w:tblPr>
      <w:tblGrid>
        <w:gridCol w:w="9350"/>
      </w:tblGrid>
      <w:tr w:rsidR="00082765" w14:paraId="589CBC5B" w14:textId="77777777" w:rsidTr="00082765">
        <w:trPr>
          <w:cnfStyle w:val="100000000000" w:firstRow="1" w:lastRow="0" w:firstColumn="0" w:lastColumn="0" w:oddVBand="0" w:evenVBand="0" w:oddHBand="0"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9350" w:type="dxa"/>
          </w:tcPr>
          <w:p w14:paraId="75B672AA" w14:textId="77777777" w:rsidR="00082765" w:rsidRPr="00082765" w:rsidRDefault="00082765" w:rsidP="00082765">
            <w:pPr>
              <w:pStyle w:val="ListParagraph"/>
              <w:numPr>
                <w:ilvl w:val="0"/>
                <w:numId w:val="5"/>
              </w:numPr>
              <w:rPr>
                <w:rFonts w:ascii="Century Gothic" w:eastAsia="Century Gothic" w:hAnsi="Century Gothic" w:cs="Times New Roman"/>
              </w:rPr>
            </w:pPr>
            <w:r w:rsidRPr="00082765">
              <w:rPr>
                <w:rFonts w:ascii="Century Gothic" w:eastAsia="Century Gothic" w:hAnsi="Century Gothic" w:cs="Times New Roman"/>
              </w:rPr>
              <w:t xml:space="preserve">Using the knowledge gained thus far, make at least 5 additions or changes to your plan to improve it for teaching and learning in the future. </w:t>
            </w:r>
          </w:p>
          <w:p w14:paraId="7359D712" w14:textId="77777777" w:rsidR="00082765" w:rsidRDefault="00082765" w:rsidP="00082765">
            <w:pPr>
              <w:contextualSpacing/>
              <w:rPr>
                <w:rFonts w:ascii="Century Gothic" w:eastAsia="Century Gothic" w:hAnsi="Century Gothic" w:cs="Times New Roman"/>
              </w:rPr>
            </w:pPr>
          </w:p>
        </w:tc>
      </w:tr>
      <w:tr w:rsidR="00082765" w14:paraId="31E4E8B6" w14:textId="77777777" w:rsidTr="00082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3CC464A" w14:textId="5C8396B9" w:rsidR="00082765" w:rsidRDefault="006E0248" w:rsidP="00082765">
            <w:pPr>
              <w:pStyle w:val="ListParagraph"/>
              <w:numPr>
                <w:ilvl w:val="0"/>
                <w:numId w:val="6"/>
              </w:numPr>
              <w:rPr>
                <w:rFonts w:ascii="Century Gothic" w:eastAsia="Century Gothic" w:hAnsi="Century Gothic" w:cs="Times New Roman"/>
              </w:rPr>
            </w:pPr>
            <w:r>
              <w:rPr>
                <w:rFonts w:ascii="Century Gothic" w:eastAsia="Century Gothic" w:hAnsi="Century Gothic" w:cs="Times New Roman"/>
              </w:rPr>
              <w:t>The schools social media policy should be part of the Responsible Use Policy (RUP) and not an entirely separate document.</w:t>
            </w:r>
          </w:p>
          <w:p w14:paraId="5B75D67E" w14:textId="318DE308" w:rsidR="006E0248" w:rsidRDefault="006E0248" w:rsidP="00082765">
            <w:pPr>
              <w:pStyle w:val="ListParagraph"/>
              <w:numPr>
                <w:ilvl w:val="0"/>
                <w:numId w:val="6"/>
              </w:numPr>
              <w:rPr>
                <w:rFonts w:ascii="Century Gothic" w:eastAsia="Century Gothic" w:hAnsi="Century Gothic" w:cs="Times New Roman"/>
              </w:rPr>
            </w:pPr>
            <w:r>
              <w:rPr>
                <w:rFonts w:ascii="Century Gothic" w:eastAsia="Century Gothic" w:hAnsi="Century Gothic" w:cs="Times New Roman"/>
              </w:rPr>
              <w:t>Resources should be made available within the document to help students learn about copyright issues.</w:t>
            </w:r>
          </w:p>
          <w:p w14:paraId="2B4B86E5" w14:textId="4D567B0E" w:rsidR="006E0248" w:rsidRDefault="006E0248" w:rsidP="00082765">
            <w:pPr>
              <w:pStyle w:val="ListParagraph"/>
              <w:numPr>
                <w:ilvl w:val="0"/>
                <w:numId w:val="6"/>
              </w:numPr>
              <w:rPr>
                <w:rFonts w:ascii="Century Gothic" w:eastAsia="Century Gothic" w:hAnsi="Century Gothic" w:cs="Times New Roman"/>
              </w:rPr>
            </w:pPr>
            <w:r>
              <w:rPr>
                <w:rFonts w:ascii="Century Gothic" w:eastAsia="Century Gothic" w:hAnsi="Century Gothic" w:cs="Times New Roman"/>
              </w:rPr>
              <w:t>Disciplinary action should be clearly outlined within the document as well as in the school handbook.</w:t>
            </w:r>
          </w:p>
          <w:p w14:paraId="09BB9CFC" w14:textId="77777777" w:rsidR="006E0248" w:rsidRDefault="006E0248" w:rsidP="00082765">
            <w:pPr>
              <w:pStyle w:val="ListParagraph"/>
              <w:numPr>
                <w:ilvl w:val="0"/>
                <w:numId w:val="6"/>
              </w:numPr>
              <w:rPr>
                <w:rFonts w:ascii="Century Gothic" w:eastAsia="Century Gothic" w:hAnsi="Century Gothic" w:cs="Times New Roman"/>
              </w:rPr>
            </w:pPr>
            <w:r>
              <w:rPr>
                <w:rFonts w:ascii="Century Gothic" w:eastAsia="Century Gothic" w:hAnsi="Century Gothic" w:cs="Times New Roman"/>
              </w:rPr>
              <w:t xml:space="preserve">Students should be aware of who to contact in case of an accidental violation of the policy so in order to avoid misunderstanding. </w:t>
            </w:r>
          </w:p>
          <w:p w14:paraId="035E5C2D" w14:textId="2562DB4B" w:rsidR="006E0248" w:rsidRPr="006E0248" w:rsidRDefault="006E0248" w:rsidP="00082765">
            <w:pPr>
              <w:pStyle w:val="ListParagraph"/>
              <w:numPr>
                <w:ilvl w:val="0"/>
                <w:numId w:val="6"/>
              </w:numPr>
              <w:rPr>
                <w:rFonts w:ascii="Century Gothic" w:eastAsia="Century Gothic" w:hAnsi="Century Gothic" w:cs="Times New Roman"/>
              </w:rPr>
            </w:pPr>
            <w:r>
              <w:rPr>
                <w:rFonts w:ascii="Century Gothic" w:eastAsia="Century Gothic" w:hAnsi="Century Gothic" w:cs="Times New Roman"/>
              </w:rPr>
              <w:t>All addendums to the policy should be linked to the RUP.  Students and parents should be able to easily access additional resources easily without navigating away from the RUP.</w:t>
            </w:r>
          </w:p>
          <w:p w14:paraId="0CB90AED" w14:textId="30454B8E" w:rsidR="00082765" w:rsidRDefault="00082765" w:rsidP="00082765">
            <w:pPr>
              <w:contextualSpacing/>
              <w:rPr>
                <w:rFonts w:ascii="Century Gothic" w:eastAsia="Century Gothic" w:hAnsi="Century Gothic" w:cs="Times New Roman"/>
              </w:rPr>
            </w:pPr>
          </w:p>
        </w:tc>
      </w:tr>
    </w:tbl>
    <w:p w14:paraId="35C053F4" w14:textId="77777777" w:rsidR="00082765" w:rsidRDefault="00082765" w:rsidP="00082765">
      <w:pPr>
        <w:ind w:left="360"/>
        <w:contextualSpacing/>
        <w:rPr>
          <w:rFonts w:ascii="Century Gothic" w:eastAsia="Century Gothic" w:hAnsi="Century Gothic" w:cs="Times New Roman"/>
        </w:rPr>
      </w:pPr>
    </w:p>
    <w:p w14:paraId="2E617635" w14:textId="77777777" w:rsidR="00082765" w:rsidRDefault="00082765" w:rsidP="00082765">
      <w:pPr>
        <w:pStyle w:val="Heading2"/>
      </w:pPr>
    </w:p>
    <w:p w14:paraId="6C009C6D" w14:textId="77777777" w:rsidR="00082765" w:rsidRDefault="00082765" w:rsidP="00082765"/>
    <w:p w14:paraId="6E7E053F" w14:textId="77777777" w:rsidR="00082765" w:rsidRDefault="00082765"/>
    <w:sectPr w:rsidR="000827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911A5"/>
    <w:multiLevelType w:val="hybridMultilevel"/>
    <w:tmpl w:val="0C3EF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9B13FC"/>
    <w:multiLevelType w:val="hybridMultilevel"/>
    <w:tmpl w:val="7A302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A0711C"/>
    <w:multiLevelType w:val="hybridMultilevel"/>
    <w:tmpl w:val="AB2AD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1401B3"/>
    <w:multiLevelType w:val="hybridMultilevel"/>
    <w:tmpl w:val="D21E8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55387B"/>
    <w:multiLevelType w:val="hybridMultilevel"/>
    <w:tmpl w:val="27D2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AA12E8"/>
    <w:multiLevelType w:val="hybridMultilevel"/>
    <w:tmpl w:val="0F2C5A6E"/>
    <w:lvl w:ilvl="0" w:tplc="C0CE2366">
      <w:start w:val="1"/>
      <w:numFmt w:val="bullet"/>
      <w:lvlText w:val=""/>
      <w:lvlJc w:val="left"/>
      <w:pPr>
        <w:ind w:left="655" w:firstLine="0"/>
      </w:pPr>
      <w:rPr>
        <w:rFonts w:ascii="Wingdings" w:eastAsia="Wingdings" w:hAnsi="Wingdings" w:cs="Wingdings"/>
        <w:b w:val="0"/>
        <w:i w:val="0"/>
        <w:strike w:val="0"/>
        <w:dstrike w:val="0"/>
        <w:color w:val="000000"/>
        <w:sz w:val="32"/>
        <w:u w:val="none" w:color="000000"/>
        <w:effect w:val="none"/>
        <w:bdr w:val="none" w:sz="0" w:space="0" w:color="auto" w:frame="1"/>
        <w:vertAlign w:val="baseline"/>
      </w:rPr>
    </w:lvl>
    <w:lvl w:ilvl="1" w:tplc="4DBCBE16">
      <w:start w:val="1"/>
      <w:numFmt w:val="bullet"/>
      <w:lvlText w:val="o"/>
      <w:lvlJc w:val="left"/>
      <w:pPr>
        <w:ind w:left="1260" w:firstLine="0"/>
      </w:pPr>
      <w:rPr>
        <w:rFonts w:ascii="Wingdings" w:eastAsia="Wingdings" w:hAnsi="Wingdings" w:cs="Wingdings"/>
        <w:b w:val="0"/>
        <w:i w:val="0"/>
        <w:strike w:val="0"/>
        <w:dstrike w:val="0"/>
        <w:color w:val="000000"/>
        <w:sz w:val="32"/>
        <w:u w:val="none" w:color="000000"/>
        <w:effect w:val="none"/>
        <w:bdr w:val="none" w:sz="0" w:space="0" w:color="auto" w:frame="1"/>
        <w:vertAlign w:val="baseline"/>
      </w:rPr>
    </w:lvl>
    <w:lvl w:ilvl="2" w:tplc="C87267EA">
      <w:start w:val="1"/>
      <w:numFmt w:val="bullet"/>
      <w:lvlText w:val="▪"/>
      <w:lvlJc w:val="left"/>
      <w:pPr>
        <w:ind w:left="1980" w:firstLine="0"/>
      </w:pPr>
      <w:rPr>
        <w:rFonts w:ascii="Wingdings" w:eastAsia="Wingdings" w:hAnsi="Wingdings" w:cs="Wingdings"/>
        <w:b w:val="0"/>
        <w:i w:val="0"/>
        <w:strike w:val="0"/>
        <w:dstrike w:val="0"/>
        <w:color w:val="000000"/>
        <w:sz w:val="32"/>
        <w:u w:val="none" w:color="000000"/>
        <w:effect w:val="none"/>
        <w:bdr w:val="none" w:sz="0" w:space="0" w:color="auto" w:frame="1"/>
        <w:vertAlign w:val="baseline"/>
      </w:rPr>
    </w:lvl>
    <w:lvl w:ilvl="3" w:tplc="0FC6909A">
      <w:start w:val="1"/>
      <w:numFmt w:val="bullet"/>
      <w:lvlText w:val="•"/>
      <w:lvlJc w:val="left"/>
      <w:pPr>
        <w:ind w:left="2700" w:firstLine="0"/>
      </w:pPr>
      <w:rPr>
        <w:rFonts w:ascii="Wingdings" w:eastAsia="Wingdings" w:hAnsi="Wingdings" w:cs="Wingdings"/>
        <w:b w:val="0"/>
        <w:i w:val="0"/>
        <w:strike w:val="0"/>
        <w:dstrike w:val="0"/>
        <w:color w:val="000000"/>
        <w:sz w:val="32"/>
        <w:u w:val="none" w:color="000000"/>
        <w:effect w:val="none"/>
        <w:bdr w:val="none" w:sz="0" w:space="0" w:color="auto" w:frame="1"/>
        <w:vertAlign w:val="baseline"/>
      </w:rPr>
    </w:lvl>
    <w:lvl w:ilvl="4" w:tplc="FEEAED56">
      <w:start w:val="1"/>
      <w:numFmt w:val="bullet"/>
      <w:lvlText w:val="o"/>
      <w:lvlJc w:val="left"/>
      <w:pPr>
        <w:ind w:left="3420" w:firstLine="0"/>
      </w:pPr>
      <w:rPr>
        <w:rFonts w:ascii="Wingdings" w:eastAsia="Wingdings" w:hAnsi="Wingdings" w:cs="Wingdings"/>
        <w:b w:val="0"/>
        <w:i w:val="0"/>
        <w:strike w:val="0"/>
        <w:dstrike w:val="0"/>
        <w:color w:val="000000"/>
        <w:sz w:val="32"/>
        <w:u w:val="none" w:color="000000"/>
        <w:effect w:val="none"/>
        <w:bdr w:val="none" w:sz="0" w:space="0" w:color="auto" w:frame="1"/>
        <w:vertAlign w:val="baseline"/>
      </w:rPr>
    </w:lvl>
    <w:lvl w:ilvl="5" w:tplc="C1FEE3A4">
      <w:start w:val="1"/>
      <w:numFmt w:val="bullet"/>
      <w:lvlText w:val="▪"/>
      <w:lvlJc w:val="left"/>
      <w:pPr>
        <w:ind w:left="4140" w:firstLine="0"/>
      </w:pPr>
      <w:rPr>
        <w:rFonts w:ascii="Wingdings" w:eastAsia="Wingdings" w:hAnsi="Wingdings" w:cs="Wingdings"/>
        <w:b w:val="0"/>
        <w:i w:val="0"/>
        <w:strike w:val="0"/>
        <w:dstrike w:val="0"/>
        <w:color w:val="000000"/>
        <w:sz w:val="32"/>
        <w:u w:val="none" w:color="000000"/>
        <w:effect w:val="none"/>
        <w:bdr w:val="none" w:sz="0" w:space="0" w:color="auto" w:frame="1"/>
        <w:vertAlign w:val="baseline"/>
      </w:rPr>
    </w:lvl>
    <w:lvl w:ilvl="6" w:tplc="A86231E4">
      <w:start w:val="1"/>
      <w:numFmt w:val="bullet"/>
      <w:lvlText w:val="•"/>
      <w:lvlJc w:val="left"/>
      <w:pPr>
        <w:ind w:left="4860" w:firstLine="0"/>
      </w:pPr>
      <w:rPr>
        <w:rFonts w:ascii="Wingdings" w:eastAsia="Wingdings" w:hAnsi="Wingdings" w:cs="Wingdings"/>
        <w:b w:val="0"/>
        <w:i w:val="0"/>
        <w:strike w:val="0"/>
        <w:dstrike w:val="0"/>
        <w:color w:val="000000"/>
        <w:sz w:val="32"/>
        <w:u w:val="none" w:color="000000"/>
        <w:effect w:val="none"/>
        <w:bdr w:val="none" w:sz="0" w:space="0" w:color="auto" w:frame="1"/>
        <w:vertAlign w:val="baseline"/>
      </w:rPr>
    </w:lvl>
    <w:lvl w:ilvl="7" w:tplc="6E926704">
      <w:start w:val="1"/>
      <w:numFmt w:val="bullet"/>
      <w:lvlText w:val="o"/>
      <w:lvlJc w:val="left"/>
      <w:pPr>
        <w:ind w:left="5580" w:firstLine="0"/>
      </w:pPr>
      <w:rPr>
        <w:rFonts w:ascii="Wingdings" w:eastAsia="Wingdings" w:hAnsi="Wingdings" w:cs="Wingdings"/>
        <w:b w:val="0"/>
        <w:i w:val="0"/>
        <w:strike w:val="0"/>
        <w:dstrike w:val="0"/>
        <w:color w:val="000000"/>
        <w:sz w:val="32"/>
        <w:u w:val="none" w:color="000000"/>
        <w:effect w:val="none"/>
        <w:bdr w:val="none" w:sz="0" w:space="0" w:color="auto" w:frame="1"/>
        <w:vertAlign w:val="baseline"/>
      </w:rPr>
    </w:lvl>
    <w:lvl w:ilvl="8" w:tplc="7A4ACB66">
      <w:start w:val="1"/>
      <w:numFmt w:val="bullet"/>
      <w:lvlText w:val="▪"/>
      <w:lvlJc w:val="left"/>
      <w:pPr>
        <w:ind w:left="6300" w:firstLine="0"/>
      </w:pPr>
      <w:rPr>
        <w:rFonts w:ascii="Wingdings" w:eastAsia="Wingdings" w:hAnsi="Wingdings" w:cs="Wingdings"/>
        <w:b w:val="0"/>
        <w:i w:val="0"/>
        <w:strike w:val="0"/>
        <w:dstrike w:val="0"/>
        <w:color w:val="000000"/>
        <w:sz w:val="32"/>
        <w:u w:val="none" w:color="000000"/>
        <w:effect w:val="none"/>
        <w:bdr w:val="none" w:sz="0" w:space="0" w:color="auto" w:frame="1"/>
        <w:vertAlign w:val="baseline"/>
      </w:rPr>
    </w:lvl>
  </w:abstractNum>
  <w:abstractNum w:abstractNumId="6">
    <w:nsid w:val="7FA0654A"/>
    <w:multiLevelType w:val="hybridMultilevel"/>
    <w:tmpl w:val="AC189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765"/>
    <w:rsid w:val="00082765"/>
    <w:rsid w:val="000E77B5"/>
    <w:rsid w:val="002D788A"/>
    <w:rsid w:val="003A6774"/>
    <w:rsid w:val="00507BCC"/>
    <w:rsid w:val="005D0134"/>
    <w:rsid w:val="006908D7"/>
    <w:rsid w:val="006B6F8F"/>
    <w:rsid w:val="006E0248"/>
    <w:rsid w:val="00732CA7"/>
    <w:rsid w:val="00782D14"/>
    <w:rsid w:val="007E390D"/>
    <w:rsid w:val="0080569D"/>
    <w:rsid w:val="00852E94"/>
    <w:rsid w:val="00984F70"/>
    <w:rsid w:val="00E8058D"/>
    <w:rsid w:val="00FC6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21FC5"/>
  <w15:chartTrackingRefBased/>
  <w15:docId w15:val="{2F8A8F29-8208-4C46-8499-3BA3664BF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765"/>
    <w:pPr>
      <w:spacing w:after="0" w:line="240" w:lineRule="auto"/>
    </w:pPr>
  </w:style>
  <w:style w:type="paragraph" w:styleId="Heading2">
    <w:name w:val="heading 2"/>
    <w:basedOn w:val="Normal"/>
    <w:next w:val="Normal"/>
    <w:link w:val="Heading2Char"/>
    <w:uiPriority w:val="9"/>
    <w:unhideWhenUsed/>
    <w:qFormat/>
    <w:rsid w:val="0008276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276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82765"/>
    <w:pPr>
      <w:ind w:left="720"/>
      <w:contextualSpacing/>
    </w:pPr>
  </w:style>
  <w:style w:type="table" w:customStyle="1" w:styleId="TableGrid">
    <w:name w:val="TableGrid"/>
    <w:rsid w:val="00082765"/>
    <w:pPr>
      <w:spacing w:after="0" w:line="240" w:lineRule="auto"/>
    </w:pPr>
    <w:rPr>
      <w:rFonts w:eastAsiaTheme="minorEastAsia"/>
    </w:rPr>
    <w:tblPr>
      <w:tblCellMar>
        <w:top w:w="0" w:type="dxa"/>
        <w:left w:w="0" w:type="dxa"/>
        <w:bottom w:w="0" w:type="dxa"/>
        <w:right w:w="0" w:type="dxa"/>
      </w:tblCellMar>
    </w:tblPr>
  </w:style>
  <w:style w:type="paragraph" w:styleId="Title">
    <w:name w:val="Title"/>
    <w:basedOn w:val="Normal"/>
    <w:next w:val="Normal"/>
    <w:link w:val="TitleChar"/>
    <w:uiPriority w:val="10"/>
    <w:qFormat/>
    <w:rsid w:val="0008276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2765"/>
    <w:rPr>
      <w:rFonts w:asciiTheme="majorHAnsi" w:eastAsiaTheme="majorEastAsia" w:hAnsiTheme="majorHAnsi" w:cstheme="majorBidi"/>
      <w:spacing w:val="-10"/>
      <w:kern w:val="28"/>
      <w:sz w:val="56"/>
      <w:szCs w:val="56"/>
    </w:rPr>
  </w:style>
  <w:style w:type="table" w:styleId="TableGrid0">
    <w:name w:val="Table Grid"/>
    <w:basedOn w:val="TableNormal"/>
    <w:uiPriority w:val="39"/>
    <w:rsid w:val="00082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08276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0169A7B576B146944F66C5E40414F0" ma:contentTypeVersion="0" ma:contentTypeDescription="Create a new document." ma:contentTypeScope="" ma:versionID="6095a3c66b29b4b0d2ab69ff93be7061">
  <xsd:schema xmlns:xsd="http://www.w3.org/2001/XMLSchema" xmlns:xs="http://www.w3.org/2001/XMLSchema" xmlns:p="http://schemas.microsoft.com/office/2006/metadata/properties" targetNamespace="http://schemas.microsoft.com/office/2006/metadata/properties" ma:root="true" ma:fieldsID="9b1d36eb1e2795face8e6fffea578b6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7D1E8B-DBFE-4DD4-964A-E4D8A5587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5CA5F6D-B235-4ABA-B3AD-EC6A71FAAE61}">
  <ds:schemaRefs>
    <ds:schemaRef ds:uri="http://schemas.microsoft.com/sharepoint/v3/contenttype/forms"/>
  </ds:schemaRefs>
</ds:datastoreItem>
</file>

<file path=customXml/itemProps3.xml><?xml version="1.0" encoding="utf-8"?>
<ds:datastoreItem xmlns:ds="http://schemas.openxmlformats.org/officeDocument/2006/customXml" ds:itemID="{93BD14BF-3B4F-423F-96CC-307CD873F315}">
  <ds:schemaRefs>
    <ds:schemaRef ds:uri="http://schemas.microsoft.com/office/2006/metadata/properties"/>
    <ds:schemaRef ds:uri="http://www.w3.org/XML/1998/namespace"/>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documentManagement/typ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NAFCS</Company>
  <LinksUpToDate>false</LinksUpToDate>
  <CharactersWithSpaces>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Bratcher</dc:creator>
  <cp:keywords/>
  <dc:description/>
  <cp:lastModifiedBy>Ashcraft, Trent</cp:lastModifiedBy>
  <cp:revision>2</cp:revision>
  <dcterms:created xsi:type="dcterms:W3CDTF">2014-12-05T21:41:00Z</dcterms:created>
  <dcterms:modified xsi:type="dcterms:W3CDTF">2014-12-05T21:41:00Z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0x010100CE0169A7B576B146944F66C5E40414F0</vt:lpwstr>
  </property>
</Properties>
</file>